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B6" w:rsidRDefault="00911CB6" w:rsidP="00911CB6">
      <w:pPr>
        <w:widowControl w:val="0"/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附件8</w:t>
      </w:r>
    </w:p>
    <w:p w:rsidR="00911CB6" w:rsidRDefault="00911CB6" w:rsidP="00911CB6">
      <w:pPr>
        <w:widowControl w:val="0"/>
        <w:spacing w:beforeLines="100" w:before="312" w:line="56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2017年度河北省创新能力提升计划</w:t>
      </w:r>
    </w:p>
    <w:p w:rsidR="00911CB6" w:rsidRDefault="00911CB6" w:rsidP="00911CB6">
      <w:pPr>
        <w:widowControl w:val="0"/>
        <w:spacing w:afterLines="100" w:after="312" w:line="560" w:lineRule="exact"/>
        <w:jc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软科学研究</w:t>
      </w:r>
      <w:r>
        <w:rPr>
          <w:rFonts w:ascii="宋体" w:hAnsi="宋体" w:cs="仿宋_GB2312" w:hint="eastAsia"/>
          <w:b/>
          <w:sz w:val="44"/>
          <w:szCs w:val="44"/>
        </w:rPr>
        <w:t>自筹</w:t>
      </w:r>
      <w:r>
        <w:rPr>
          <w:rFonts w:ascii="宋体" w:hAnsi="宋体" w:cs="楷体_GB2312" w:hint="eastAsia"/>
          <w:b/>
          <w:bCs/>
          <w:color w:val="000000"/>
          <w:kern w:val="0"/>
          <w:sz w:val="44"/>
          <w:szCs w:val="44"/>
          <w:lang w:val="zh-CN"/>
        </w:rPr>
        <w:t>项目</w:t>
      </w:r>
      <w:r>
        <w:rPr>
          <w:rFonts w:ascii="宋体" w:hAnsi="宋体" w:cs="宋体" w:hint="eastAsia"/>
          <w:b/>
          <w:color w:val="000000"/>
          <w:sz w:val="44"/>
          <w:szCs w:val="44"/>
        </w:rPr>
        <w:t>申报指南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一、支持重点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结合当前全省经济社会发展重大任务、深化科技体制改革、强化创新驱动、激活各类创新主体、营造创新环境等热点难点问题，提出重要对策建议。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优先主题一:技术创新体系建设研究（指南代码 5000901）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建立以企业为主体、市场为导向、产学研深度融合的技术创新体系，分析我省创新体系建设现状，找准问题与薄弱环节，对标国内外先进经验做法，开展深度理论和实践应用研究，提出建立河北特色区域创新体系的建设模式、建设路径、建设方法与重大举措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优先主题二：培育经济发展新动能路径与对策研究（指南代码 5000909）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围绕提高全省经济发展质量和效益，借鉴先进省份新旧动能转换的经验和做法，研究分析制约我省新旧动能转换的体制机制障碍，提出有针对性的对策建议。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优先主题三：科技引领产业选择对策研究（指南代码 5000910）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重点围绕加快产业转型升级、培育先导和未来产业、节能环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保产业、现代农业、服务业、文化创意等，研究提出我</w:t>
      </w:r>
      <w:r>
        <w:rPr>
          <w:rFonts w:ascii="仿宋_GB2312" w:eastAsia="仿宋_GB2312" w:hAnsi="仿宋_GB2312" w:cs="仿宋_GB2312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相应产业</w:t>
      </w:r>
      <w:r>
        <w:rPr>
          <w:rFonts w:ascii="仿宋_GB2312" w:eastAsia="仿宋_GB2312" w:hAnsi="仿宋_GB2312" w:cs="仿宋_GB2312"/>
          <w:sz w:val="32"/>
          <w:szCs w:val="32"/>
        </w:rPr>
        <w:t>发展策略</w:t>
      </w:r>
      <w:r>
        <w:rPr>
          <w:rFonts w:ascii="仿宋_GB2312" w:eastAsia="仿宋_GB2312" w:hAnsi="仿宋_GB2312" w:cs="仿宋_GB2312" w:hint="eastAsia"/>
          <w:sz w:val="32"/>
          <w:szCs w:val="32"/>
        </w:rPr>
        <w:t>、前瞻布局、支持培育</w:t>
      </w:r>
      <w:r>
        <w:rPr>
          <w:rFonts w:ascii="仿宋_GB2312" w:eastAsia="仿宋_GB2312" w:hAnsi="仿宋_GB2312" w:cs="仿宋_GB2312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、模式路径与相应产业扶持政策等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优先主题四：生态保护及环境治理对策研究（指南代码5000911）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从京津冀地区生态环境的现状出发，对其生态困局的成因进行反思，从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要素保障的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角度考察京津冀生态环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境协同治理与修复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的发展路径与基本思路，探索解决京津冀生态环境问题的新体制、新机制、新政策、新模式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优先主题五：发展壮大企业主体对策研究（指南代码 5000912）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围绕发展创新型企业、高新技术企业、科技型中小企业，研究对比国内外支持政策和保障机制，找出我省制约短板，提出针对性的改进建议和可落地的方案措施。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优先主题六：增加全社会研发投入对策研究（指南代码 5000913）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围绕发挥财政资金撬动作用，吸引金融资本和社会资金支持创新主体科技创新，在支持重大成果转化、实施重大研发项目、建设研发机构、引进研发人才等方面，研究提出增加全社会研发投入的重大措施建议。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优先主题七：促进科技成果转化对策研究（指南代码 5000914）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围绕加快建设河北</w:t>
      </w:r>
      <w:r>
        <w:rPr>
          <w:rFonts w:ascii="仿宋_GB2312" w:eastAsia="仿宋_GB2312" w:hAnsi="仿宋_GB2312" w:cs="仿宋_GB2312"/>
          <w:sz w:val="32"/>
          <w:szCs w:val="32"/>
        </w:rPr>
        <w:t>京南国家科技成果转移转化示范区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>、石保廊全面创新综合改革试验区，推进科研机构、高校、企业成果转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化，落实科技成果转化、以增加知识价值为导向收入分配等有关激励政策，培育发展科技服务机构，研究分析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制约我省科技成果转化的制度性障碍，提出促进科技成果转化的对策建议。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优先主题八：人才引进培育使用政策研究（指南代码 5000916）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系统梳理我省现有人才政策，对比分析与先进省份的人才政策差距，结合我省实际，研究提出不同创新主体吸引不同类型创新人才的主要形式、重要载体、管理机制、评价办法、支持政策以及保障措施。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优先主题九：科技企业孵化育成体系发展对策研究（指南代码 5000917）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围绕完善“众创空间—孵化器—加速器—科技园区”全链条孵化体系，对标先进省份成功做法经验，研究促进高新区和农业科技园区发展、新型研发机构、完善综合创新生态系统等可操作性政策建议。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优先主题十：科技金融深度融合对策研究（指南代码 5000918）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现有科技金融政策进行梳理分析，围绕发展壮大科技金融服务机构，支持运用新型工具产品，构建覆盖科技企业全生命周期的科技金融服务链条，强化资本市场、民间投资对技术创新的支持，建立多层次的科技投融资体系，研究提出重要对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优先主题十一：深入实施知识产权战略研究（指南代码 5000919）</w:t>
      </w:r>
    </w:p>
    <w:p w:rsidR="00911CB6" w:rsidRDefault="00911CB6" w:rsidP="00911CB6">
      <w:pPr>
        <w:widowControl w:val="0"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围绕如何促进我省知识产权工作与经济发展和科技进步相融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合，提出加强知识产权创造、运用、保护和管理等方面的政策建议。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 xml:space="preserve">优先主题十二：促进开放创新对策研究（指南代码 5000921） 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重点围绕实施“一带一路”科技创新行动计划、利用国外创新资源、聚集国内创新要素、加强科技招商、促进军民科技融合等，研究提出有关对策建议。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优先主题十三：促进创新创业有关对策研究（指南代码 5000922）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宋体" w:cs="AdobeSongStd-Light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围绕进一步推动大众创业、万众创新，推进科研领域“放管服”改革、优化营商环境、科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技人员创业、创新簇</w:t>
      </w:r>
      <w:r>
        <w:rPr>
          <w:rFonts w:ascii="仿宋_GB2312" w:eastAsia="仿宋_GB2312"/>
          <w:sz w:val="32"/>
          <w:szCs w:val="32"/>
          <w:shd w:val="clear" w:color="auto" w:fill="FFFFFF"/>
        </w:rPr>
        <w:t>发展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、科技服务、科技文化宣传、创意设计、创新创业生态等，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研究提出有关支持政策和发展对策。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outlineLvl w:val="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优先主题十四：改善民生、发展社会事业有关对策研究（指南代码 5000923）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宋体" w:cs="AdobeSongStd-Light" w:hint="eastAsia"/>
          <w:kern w:val="0"/>
          <w:sz w:val="32"/>
          <w:szCs w:val="32"/>
        </w:rPr>
      </w:pPr>
      <w:r>
        <w:rPr>
          <w:rFonts w:ascii="仿宋_GB2312" w:eastAsia="仿宋_GB2312" w:hAnsi="宋体" w:cs="AdobeSongStd-Light" w:hint="eastAsia"/>
          <w:kern w:val="0"/>
          <w:sz w:val="32"/>
          <w:szCs w:val="32"/>
        </w:rPr>
        <w:t>根据省委、省政府改善民生的重大部署，围绕民生改善、脱贫攻坚、三农问题、公共安全、人口健康、社会治理、公共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服务、促进就业、社会保障</w:t>
      </w:r>
      <w:r>
        <w:rPr>
          <w:rFonts w:ascii="仿宋_GB2312" w:eastAsia="仿宋_GB2312" w:hAnsi="宋体" w:cs="AdobeSongStd-Light" w:hint="eastAsia"/>
          <w:kern w:val="0"/>
          <w:sz w:val="32"/>
          <w:szCs w:val="32"/>
        </w:rPr>
        <w:t>等热点、难点问题进行研究，提出相关意见建议。</w:t>
      </w:r>
    </w:p>
    <w:p w:rsidR="00911CB6" w:rsidRDefault="00911CB6" w:rsidP="00911CB6">
      <w:pPr>
        <w:widowControl w:val="0"/>
        <w:spacing w:line="560" w:lineRule="exact"/>
        <w:ind w:firstLineChars="200" w:firstLine="643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优先主题十五：促进财务会计管理创新有关对策研究（指南代码 5000925）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根据新经济时代、国企改革、京津冀协同发展，围绕科研资金和投融资财务管理，在企事业单位会计改革、战略及风险管理、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财务转型、管理会计应用、内部控制、预算管理、投融资管理、会计人才培养等难点、热点问题进行研究，提出相关意见建议。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二、申报要求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1.项目要以解决实际问题、推进决策应用为导向，注重研究的实证性、对策性、操作性，与决策无关的哲学社会科学领域的项目不予受理。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2.申报项目时，申报单位应围绕优先主题选取涉及的研究项目，突出当前研究重点。鼓励组建跨单位、跨学科的协同创新团队。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3.结题时项目研究成果应达到下列条件之一：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研究成果被省级以上部门或设区市党委、政府采纳应用，研究论文在省级以上有影响的刊物刊登，在省级以上主流媒体发表，出版专题研究著作，有关研究领域权威专家引用或采用。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4.项目执行期:后补助项目一般不超过2年，其它项目一般不超过1年。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三、申报材料</w:t>
      </w:r>
    </w:p>
    <w:p w:rsidR="00911CB6" w:rsidRDefault="00911CB6" w:rsidP="00911CB6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《河北省创新能力提升计划项目申请书》（软科学研究及科普专项〔软科学研究专题〕），纸质材料一式两份。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四、受理与咨询电话</w:t>
      </w:r>
    </w:p>
    <w:p w:rsidR="00911CB6" w:rsidRDefault="00911CB6" w:rsidP="00911CB6">
      <w:pPr>
        <w:widowControl w:val="0"/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政策法规与监督处   0311-85803093</w:t>
      </w:r>
    </w:p>
    <w:p w:rsidR="00911CB6" w:rsidRDefault="00911CB6" w:rsidP="00911CB6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五、申报受理地点</w:t>
      </w:r>
    </w:p>
    <w:p w:rsidR="00911CB6" w:rsidRDefault="00911CB6" w:rsidP="00911CB6">
      <w:pPr>
        <w:snapToGrid w:val="0"/>
        <w:spacing w:line="560" w:lineRule="exact"/>
        <w:ind w:firstLineChars="200" w:firstLine="640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项目申请书纸件报送地址：石家庄市裕华东路105号</w:t>
      </w:r>
      <w:r>
        <w:rPr>
          <w:rFonts w:ascii="仿宋_GB2312" w:eastAsia="仿宋_GB2312" w:cs="宋体" w:hint="eastAsia"/>
          <w:kern w:val="0"/>
          <w:sz w:val="32"/>
          <w:szCs w:val="32"/>
        </w:rPr>
        <w:t>科技大厦1201房间</w:t>
      </w:r>
    </w:p>
    <w:p w:rsidR="003E7404" w:rsidRPr="00911CB6" w:rsidRDefault="003E7404">
      <w:bookmarkStart w:id="0" w:name="_GoBack"/>
      <w:bookmarkEnd w:id="0"/>
    </w:p>
    <w:sectPr w:rsidR="003E7404" w:rsidRPr="00911CB6">
      <w:footerReference w:type="default" r:id="rId5"/>
      <w:pgSz w:w="12240" w:h="15840"/>
      <w:pgMar w:top="2098" w:right="1587" w:bottom="1417" w:left="1587" w:header="720" w:footer="72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F9" w:rsidRDefault="00911C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0200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7F9" w:rsidRDefault="00911CB6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11CB6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US" w:eastAsia="zh-CN"/>
                            </w:rPr>
                            <w:t>- 6 -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5.2pt;margin-top:0;width:26pt;height:13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" filled="f" stroked="f">
              <v:textbox style="mso-fit-shape-to-text:t" inset="0,0,0,0">
                <w:txbxContent>
                  <w:p w:rsidR="004607F9" w:rsidRDefault="00911CB6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Pr="00911CB6"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US" w:eastAsia="zh-CN"/>
                      </w:rPr>
                      <w:t>- 6 -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B6"/>
    <w:rsid w:val="003E7404"/>
    <w:rsid w:val="009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B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11CB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B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11C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2017-12-04T01:31:00Z</dcterms:created>
  <dcterms:modified xsi:type="dcterms:W3CDTF">2017-12-04T01:32:00Z</dcterms:modified>
</cp:coreProperties>
</file>